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צה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והכנה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לשירות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משמעותי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ובקהילה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כערך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במכינת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השואפת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חניכיה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להפנמת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אורח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תרומה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התנדבות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ועשייה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commentRangeStart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הסביבה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כחובתו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ציוני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הרואה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בהגנת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מולדתם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כזכות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20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מעודדת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חניכיה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המביא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יכולותיהם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המיטבית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להשקיע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המירב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בתפקידם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לתפקידי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הדרכה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וקצונה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ולחנך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200" w:line="240" w:lineRule="auto"/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לתפיסת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הצבאי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כמשמעותי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ומצפים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מבוגרינו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ולשרת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במילואים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בחינוך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ובסביבה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20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תפיסתנו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מעורבת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נעודד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חניכינו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והמשמעותי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רגישות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לאורח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ולתכונות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ויכולות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ככזאת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מכינת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מעודדת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חניכיה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ישראלים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מיטבי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קהילת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commentRangeStart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המכינה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כצבא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היהודי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במכינת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כערך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תכני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העוסקים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בהכנה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ובהיכרות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עימו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רלוונטים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20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ההכנה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מורכבת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משילוב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הרצאות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והתנסויות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המועברות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צבא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קרבי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ודמויות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העוסקות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והמוכנות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העוסקת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מעבירה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מובילה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אימונים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גופניים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ומתאמת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200" w:line="240" w:lineRule="auto"/>
        <w:contextualSpacing w:val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התכנית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אימונים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מאמצים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בריא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ונפשית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הרגשיים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והתמודדות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ואידיאולוגי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commentRangeStart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והעם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commentRangeStart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מהקמתו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ira" w:id="2" w:date="2016-07-26T14:51:00Z"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</w:comment>
  <w:comment w:author="Meira" w:id="0" w:date="2016-07-26T14:46:00Z"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התנדבות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</w:comment>
  <w:comment w:author="Meira" w:id="3" w:date="2016-07-26T14:54:00Z"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שיתקלו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פנימייה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המנטאלית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Meira" w:id="1" w:date="2016-07-26T14:47:00Z"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ולנסח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Meira" w:id="4" w:date="2016-07-26T14:54:00Z"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←"/>
      <w:lvlJc w:val="center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